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7193" w14:textId="7DA625C7" w:rsidR="00B75A9A" w:rsidRPr="0002532B" w:rsidRDefault="00B75A9A" w:rsidP="00B75A9A">
      <w:pPr>
        <w:jc w:val="center"/>
        <w:rPr>
          <w:b/>
          <w:u w:val="single"/>
        </w:rPr>
      </w:pPr>
      <w:r>
        <w:rPr>
          <w:b/>
          <w:u w:val="single"/>
        </w:rPr>
        <w:t xml:space="preserve">BASES Y CONDICIONES </w:t>
      </w:r>
      <w:r w:rsidRPr="0002532B">
        <w:rPr>
          <w:b/>
          <w:u w:val="single"/>
        </w:rPr>
        <w:t>DE</w:t>
      </w:r>
      <w:r>
        <w:rPr>
          <w:b/>
          <w:u w:val="single"/>
        </w:rPr>
        <w:t xml:space="preserve"> LA </w:t>
      </w:r>
      <w:r w:rsidR="00C57FA7">
        <w:rPr>
          <w:b/>
          <w:u w:val="single"/>
        </w:rPr>
        <w:t>ACCIÓN COMERCIAL</w:t>
      </w:r>
      <w:r w:rsidR="000E4D78">
        <w:rPr>
          <w:b/>
          <w:u w:val="single"/>
        </w:rPr>
        <w:t xml:space="preserve"> </w:t>
      </w:r>
      <w:r>
        <w:rPr>
          <w:b/>
          <w:u w:val="single"/>
        </w:rPr>
        <w:t xml:space="preserve"> “</w:t>
      </w:r>
      <w:r w:rsidR="00D02FF3">
        <w:rPr>
          <w:b/>
          <w:u w:val="single"/>
        </w:rPr>
        <w:t>12-1 Comienzo de clases</w:t>
      </w:r>
      <w:r w:rsidR="00C57FA7">
        <w:rPr>
          <w:b/>
          <w:u w:val="single"/>
        </w:rPr>
        <w:t>…</w:t>
      </w:r>
      <w:r>
        <w:rPr>
          <w:b/>
          <w:u w:val="single"/>
        </w:rPr>
        <w:t>”</w:t>
      </w:r>
    </w:p>
    <w:p w14:paraId="666DF415" w14:textId="77777777" w:rsidR="00B75A9A" w:rsidRPr="0002532B" w:rsidRDefault="00B75A9A" w:rsidP="00B75A9A">
      <w:pPr>
        <w:jc w:val="center"/>
        <w:rPr>
          <w:b/>
          <w:u w:val="single"/>
        </w:rPr>
      </w:pPr>
    </w:p>
    <w:p w14:paraId="2339C81C" w14:textId="77777777" w:rsidR="00B75A9A" w:rsidRPr="00570E4E" w:rsidRDefault="00B75A9A" w:rsidP="00B75A9A">
      <w:pPr>
        <w:numPr>
          <w:ilvl w:val="0"/>
          <w:numId w:val="3"/>
        </w:numPr>
        <w:jc w:val="both"/>
        <w:rPr>
          <w:b/>
          <w:u w:val="single"/>
        </w:rPr>
      </w:pPr>
      <w:r w:rsidRPr="00570E4E">
        <w:rPr>
          <w:b/>
          <w:u w:val="single"/>
        </w:rPr>
        <w:t>Descripción General</w:t>
      </w:r>
    </w:p>
    <w:p w14:paraId="7ABEA506" w14:textId="77777777" w:rsidR="00B75A9A" w:rsidRPr="0002532B" w:rsidRDefault="00B75A9A" w:rsidP="00B75A9A">
      <w:pPr>
        <w:numPr>
          <w:ilvl w:val="2"/>
          <w:numId w:val="3"/>
        </w:numPr>
        <w:tabs>
          <w:tab w:val="num" w:pos="720"/>
        </w:tabs>
        <w:ind w:left="720"/>
        <w:jc w:val="both"/>
      </w:pPr>
      <w:proofErr w:type="spellStart"/>
      <w:r w:rsidRPr="0002532B">
        <w:t>Tinkland</w:t>
      </w:r>
      <w:proofErr w:type="spellEnd"/>
      <w:r w:rsidRPr="0002532B">
        <w:t xml:space="preserve"> S</w:t>
      </w:r>
      <w:r>
        <w:t>.</w:t>
      </w:r>
      <w:r w:rsidRPr="0002532B">
        <w:t>A</w:t>
      </w:r>
      <w:r>
        <w:t>.</w:t>
      </w:r>
      <w:r w:rsidRPr="0002532B">
        <w:t xml:space="preserve"> (“</w:t>
      </w:r>
      <w:proofErr w:type="spellStart"/>
      <w:r w:rsidRPr="0002532B">
        <w:t>FastCred</w:t>
      </w:r>
      <w:proofErr w:type="spellEnd"/>
      <w:r w:rsidRPr="0002532B">
        <w:t>”</w:t>
      </w:r>
      <w:r>
        <w:t xml:space="preserve"> o el “Organizador”</w:t>
      </w:r>
      <w:r w:rsidRPr="0002532B">
        <w:t>)</w:t>
      </w:r>
      <w:r w:rsidR="00164F0D">
        <w:t xml:space="preserve">, con domicilio en Lindoro Forteza 2575 </w:t>
      </w:r>
      <w:r w:rsidR="00570E4E">
        <w:t>de la c</w:t>
      </w:r>
      <w:r>
        <w:t xml:space="preserve">iudad </w:t>
      </w:r>
      <w:r w:rsidR="00570E4E">
        <w:t xml:space="preserve">de Montevideo, </w:t>
      </w:r>
      <w:r w:rsidRPr="0002532B">
        <w:t xml:space="preserve">organiza una </w:t>
      </w:r>
      <w:r>
        <w:t>ac</w:t>
      </w:r>
      <w:r w:rsidR="00AE31C3">
        <w:t xml:space="preserve">ción comercial </w:t>
      </w:r>
      <w:r w:rsidRPr="0002532B">
        <w:t>(la “</w:t>
      </w:r>
      <w:r w:rsidR="004274F1">
        <w:t>Acción</w:t>
      </w:r>
      <w:r w:rsidRPr="0002532B">
        <w:t xml:space="preserve">”) con la modalidad que se informa en el numeral siguiente de </w:t>
      </w:r>
      <w:r>
        <w:t xml:space="preserve">las presentes </w:t>
      </w:r>
      <w:r w:rsidRPr="0002532B">
        <w:t>Bases</w:t>
      </w:r>
      <w:r>
        <w:t xml:space="preserve"> y Condiciones (las “Bases”)</w:t>
      </w:r>
      <w:r w:rsidRPr="0002532B">
        <w:t>, la cual se llevará a cabo en el territorio de la República Oriental del Uruguay.</w:t>
      </w:r>
    </w:p>
    <w:p w14:paraId="7ECDC2A0" w14:textId="5FB83F07" w:rsidR="00B75A9A" w:rsidRPr="0002532B" w:rsidRDefault="00B75A9A" w:rsidP="00B75A9A">
      <w:pPr>
        <w:numPr>
          <w:ilvl w:val="2"/>
          <w:numId w:val="3"/>
        </w:numPr>
        <w:tabs>
          <w:tab w:val="num" w:pos="720"/>
        </w:tabs>
        <w:ind w:left="720"/>
        <w:jc w:val="both"/>
      </w:pPr>
      <w:r>
        <w:t>L</w:t>
      </w:r>
      <w:r w:rsidRPr="0002532B">
        <w:t xml:space="preserve">a </w:t>
      </w:r>
      <w:r w:rsidR="004274F1">
        <w:t>Acción</w:t>
      </w:r>
      <w:r w:rsidRPr="0002532B">
        <w:t xml:space="preserve"> tendrá lugar entre el</w:t>
      </w:r>
      <w:r w:rsidR="00164F0D">
        <w:t xml:space="preserve"> </w:t>
      </w:r>
      <w:r w:rsidR="00D02FF3">
        <w:t>02</w:t>
      </w:r>
      <w:r w:rsidR="00164F0D">
        <w:t xml:space="preserve">de </w:t>
      </w:r>
      <w:r w:rsidR="00D02FF3">
        <w:t xml:space="preserve">marzo </w:t>
      </w:r>
      <w:r w:rsidR="00164F0D">
        <w:t xml:space="preserve">  de 202</w:t>
      </w:r>
      <w:r w:rsidR="00D02FF3">
        <w:t>6</w:t>
      </w:r>
      <w:r w:rsidR="00164F0D">
        <w:t xml:space="preserve"> </w:t>
      </w:r>
      <w:r>
        <w:t xml:space="preserve"> (o en su defecto una vez obtenida la autorización de los organismos estatales, si corres</w:t>
      </w:r>
      <w:r w:rsidR="00164F0D">
        <w:t>pondiere), al 31 de m</w:t>
      </w:r>
      <w:r w:rsidR="00D02FF3">
        <w:t>arzo</w:t>
      </w:r>
      <w:r w:rsidR="00164F0D">
        <w:t xml:space="preserve"> de 202</w:t>
      </w:r>
      <w:r w:rsidR="00D02FF3">
        <w:t xml:space="preserve">6 </w:t>
      </w:r>
      <w:r w:rsidRPr="0002532B">
        <w:t xml:space="preserve">inclusive, y se aplicará únicamente a </w:t>
      </w:r>
      <w:r>
        <w:t xml:space="preserve">todos los consumidores de préstamos </w:t>
      </w:r>
      <w:r w:rsidR="00164F0D">
        <w:t xml:space="preserve">originados en TINKLAND SA a través de la tarjeta de crédito VIA CARD O ELECTROCAR  </w:t>
      </w:r>
      <w:r w:rsidR="00C57FA7">
        <w:t xml:space="preserve"> y a aquellos que paguen servicios adicionales </w:t>
      </w:r>
      <w:r w:rsidR="001429F7">
        <w:t xml:space="preserve">contratados con </w:t>
      </w:r>
      <w:proofErr w:type="spellStart"/>
      <w:r w:rsidR="001429F7">
        <w:t>FastCred</w:t>
      </w:r>
      <w:proofErr w:type="spellEnd"/>
      <w:r w:rsidR="001429F7">
        <w:t xml:space="preserve"> </w:t>
      </w:r>
      <w:r>
        <w:t xml:space="preserve">con un plazo de pago de 12 cuotas y siempre cuando </w:t>
      </w:r>
      <w:r w:rsidRPr="0002532B">
        <w:t xml:space="preserve"> cumplan</w:t>
      </w:r>
      <w:r>
        <w:t xml:space="preserve"> con</w:t>
      </w:r>
      <w:r w:rsidRPr="0002532B">
        <w:t xml:space="preserve"> las condiciones establecidas en las siguientes cláusulas</w:t>
      </w:r>
      <w:r>
        <w:t>.</w:t>
      </w:r>
    </w:p>
    <w:p w14:paraId="36B0603F" w14:textId="77777777" w:rsidR="00B75A9A" w:rsidRPr="0002532B" w:rsidRDefault="00B75A9A" w:rsidP="00B75A9A">
      <w:pPr>
        <w:numPr>
          <w:ilvl w:val="2"/>
          <w:numId w:val="3"/>
        </w:numPr>
        <w:tabs>
          <w:tab w:val="num" w:pos="720"/>
        </w:tabs>
        <w:ind w:left="720"/>
        <w:jc w:val="both"/>
      </w:pPr>
      <w:r w:rsidRPr="004A39B8">
        <w:rPr>
          <w:bCs/>
        </w:rPr>
        <w:t xml:space="preserve">Participarán de la </w:t>
      </w:r>
      <w:r w:rsidR="004274F1">
        <w:rPr>
          <w:bCs/>
        </w:rPr>
        <w:t xml:space="preserve">Acción </w:t>
      </w:r>
      <w:r w:rsidR="00570E4E">
        <w:rPr>
          <w:bCs/>
        </w:rPr>
        <w:t xml:space="preserve">todos </w:t>
      </w:r>
      <w:r w:rsidRPr="0002532B">
        <w:rPr>
          <w:bCs/>
        </w:rPr>
        <w:t xml:space="preserve"> los clientes de </w:t>
      </w:r>
      <w:proofErr w:type="spellStart"/>
      <w:r w:rsidR="00570E4E">
        <w:rPr>
          <w:bCs/>
        </w:rPr>
        <w:t>FastCred</w:t>
      </w:r>
      <w:proofErr w:type="spellEnd"/>
      <w:r>
        <w:rPr>
          <w:bCs/>
        </w:rPr>
        <w:t xml:space="preserve"> que teniendo </w:t>
      </w:r>
      <w:r w:rsidRPr="0002532B">
        <w:rPr>
          <w:bCs/>
        </w:rPr>
        <w:t xml:space="preserve">sus tarjetas </w:t>
      </w:r>
      <w:r>
        <w:rPr>
          <w:bCs/>
        </w:rPr>
        <w:t xml:space="preserve">de crédito Cabal </w:t>
      </w:r>
      <w:r w:rsidRPr="0002532B">
        <w:rPr>
          <w:bCs/>
        </w:rPr>
        <w:t>vigentes y al día</w:t>
      </w:r>
      <w:r>
        <w:rPr>
          <w:bCs/>
        </w:rPr>
        <w:t xml:space="preserve"> en su pago soliciten dicho préstamo y cumplan alguna de las acciones establecidas en el numeral siguiente “Mecánica de Participación”.</w:t>
      </w:r>
    </w:p>
    <w:p w14:paraId="27692EEC" w14:textId="77777777" w:rsidR="00B75A9A" w:rsidRPr="00570E4E" w:rsidRDefault="00B75A9A" w:rsidP="00B75A9A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 w:rsidRPr="00570E4E">
        <w:rPr>
          <w:b/>
          <w:u w:val="single"/>
        </w:rPr>
        <w:t>Mecánica de participación</w:t>
      </w:r>
    </w:p>
    <w:p w14:paraId="0939EC01" w14:textId="77777777" w:rsidR="00B75A9A" w:rsidRPr="0002532B" w:rsidRDefault="00B75A9A" w:rsidP="00B75A9A">
      <w:pPr>
        <w:pStyle w:val="Prrafodelista"/>
        <w:ind w:left="0"/>
        <w:jc w:val="both"/>
      </w:pPr>
    </w:p>
    <w:p w14:paraId="0E1F94CB" w14:textId="77777777" w:rsidR="00B75A9A" w:rsidRDefault="00B75A9A" w:rsidP="00B75A9A">
      <w:pPr>
        <w:pStyle w:val="Prrafodelista"/>
        <w:numPr>
          <w:ilvl w:val="2"/>
          <w:numId w:val="3"/>
        </w:numPr>
        <w:tabs>
          <w:tab w:val="clear" w:pos="360"/>
          <w:tab w:val="left" w:pos="180"/>
          <w:tab w:val="num" w:pos="720"/>
        </w:tabs>
        <w:ind w:left="720"/>
        <w:jc w:val="both"/>
      </w:pPr>
      <w:r w:rsidRPr="0002532B">
        <w:t xml:space="preserve">Los interesados consumidores que deseen participar de la </w:t>
      </w:r>
      <w:r w:rsidR="004274F1">
        <w:t>Acción</w:t>
      </w:r>
      <w:r w:rsidRPr="0002532B">
        <w:t xml:space="preserve">, podrán hacerlo </w:t>
      </w:r>
      <w:r>
        <w:t xml:space="preserve">solicitando durante el plazo de vigencia de esta </w:t>
      </w:r>
      <w:r w:rsidR="00AE31C3">
        <w:t>A</w:t>
      </w:r>
      <w:r>
        <w:t xml:space="preserve">cción cualquier </w:t>
      </w:r>
      <w:r w:rsidR="004274F1">
        <w:t>préstamo</w:t>
      </w:r>
      <w:r>
        <w:t xml:space="preserve"> con plazo de </w:t>
      </w:r>
      <w:r w:rsidRPr="00B96D77">
        <w:rPr>
          <w:b/>
        </w:rPr>
        <w:t>pago de 12 cuotas</w:t>
      </w:r>
      <w:r>
        <w:t>.</w:t>
      </w:r>
    </w:p>
    <w:p w14:paraId="6C9BEC96" w14:textId="77777777" w:rsidR="00B75A9A" w:rsidRPr="0002532B" w:rsidRDefault="00B75A9A" w:rsidP="00175C95">
      <w:pPr>
        <w:pStyle w:val="Prrafodelista"/>
        <w:numPr>
          <w:ilvl w:val="2"/>
          <w:numId w:val="3"/>
        </w:numPr>
        <w:tabs>
          <w:tab w:val="clear" w:pos="360"/>
          <w:tab w:val="left" w:pos="180"/>
          <w:tab w:val="num" w:pos="720"/>
        </w:tabs>
        <w:ind w:left="720"/>
        <w:jc w:val="both"/>
      </w:pPr>
      <w:r>
        <w:t xml:space="preserve">Será condición para participar de la </w:t>
      </w:r>
      <w:r w:rsidR="004274F1">
        <w:t>Acción,</w:t>
      </w:r>
      <w:r>
        <w:t xml:space="preserve"> que l</w:t>
      </w:r>
      <w:r w:rsidRPr="0002532B">
        <w:t xml:space="preserve">os clientes de la Tarjeta Fastcred participantes de la </w:t>
      </w:r>
      <w:r>
        <w:t>A</w:t>
      </w:r>
      <w:r w:rsidR="00AE31C3">
        <w:t xml:space="preserve">cción </w:t>
      </w:r>
      <w:r>
        <w:t>se encuentren</w:t>
      </w:r>
      <w:r w:rsidRPr="0002532B">
        <w:t xml:space="preserve"> al día en el pago de la Tarjeta</w:t>
      </w:r>
      <w:r w:rsidR="00B96D77">
        <w:t xml:space="preserve"> de Crédito Cabal; </w:t>
      </w:r>
      <w:r>
        <w:t xml:space="preserve"> siendo requisito necesario para participar en la </w:t>
      </w:r>
      <w:r w:rsidR="00AE31C3">
        <w:t>Acción</w:t>
      </w:r>
      <w:r>
        <w:t xml:space="preserve"> </w:t>
      </w:r>
      <w:r w:rsidR="00B96D77">
        <w:t xml:space="preserve">la adquisición de </w:t>
      </w:r>
      <w:r>
        <w:t>servicios a través de la Tarjeta de Crédito Cabal durante la vigencia de la misma.</w:t>
      </w:r>
    </w:p>
    <w:p w14:paraId="34D02337" w14:textId="77777777" w:rsidR="00B75A9A" w:rsidRPr="0002532B" w:rsidRDefault="00B75A9A" w:rsidP="00B75A9A">
      <w:pPr>
        <w:pStyle w:val="Prrafodelista"/>
        <w:ind w:left="0"/>
        <w:jc w:val="both"/>
      </w:pPr>
    </w:p>
    <w:p w14:paraId="2FE3BE09" w14:textId="77777777" w:rsidR="00B75A9A" w:rsidRPr="004A39B8" w:rsidRDefault="00B75A9A" w:rsidP="00B75A9A">
      <w:pPr>
        <w:pStyle w:val="Prrafodelista"/>
        <w:numPr>
          <w:ilvl w:val="0"/>
          <w:numId w:val="3"/>
        </w:numPr>
        <w:jc w:val="both"/>
      </w:pPr>
      <w:r w:rsidRPr="0002532B">
        <w:rPr>
          <w:b/>
        </w:rPr>
        <w:t>Premios</w:t>
      </w:r>
    </w:p>
    <w:p w14:paraId="4EFE3CEE" w14:textId="77777777" w:rsidR="00B75A9A" w:rsidRPr="0002532B" w:rsidRDefault="00B75A9A" w:rsidP="00B75A9A">
      <w:pPr>
        <w:pStyle w:val="Prrafodelista"/>
        <w:jc w:val="both"/>
      </w:pPr>
    </w:p>
    <w:p w14:paraId="0A745240" w14:textId="77777777" w:rsidR="00B75A9A" w:rsidRDefault="00B75A9A" w:rsidP="00B75A9A">
      <w:pPr>
        <w:pStyle w:val="Prrafodelista"/>
        <w:numPr>
          <w:ilvl w:val="0"/>
          <w:numId w:val="1"/>
        </w:numPr>
        <w:jc w:val="both"/>
      </w:pPr>
      <w:r>
        <w:t>A los consumidores solicitantes de p</w:t>
      </w:r>
      <w:r w:rsidR="004274F1">
        <w:t>réstamos participantes de esta A</w:t>
      </w:r>
      <w:r>
        <w:t>cci</w:t>
      </w:r>
      <w:r w:rsidR="00542045">
        <w:t>ón, se les obsequiara la cuota 12</w:t>
      </w:r>
      <w:r w:rsidR="00AE31C3">
        <w:t xml:space="preserve">, siempre que </w:t>
      </w:r>
      <w:r>
        <w:t xml:space="preserve">las </w:t>
      </w:r>
      <w:r w:rsidR="00542045">
        <w:t>11</w:t>
      </w:r>
      <w:r>
        <w:t xml:space="preserve"> cuotas anteriores hayan sido pagas en tiempo y forma</w:t>
      </w:r>
      <w:r w:rsidR="00570E4E">
        <w:t>, es decir que antes de la fecha de vencimiento de cada cuota, hayan pagado la totalidad d</w:t>
      </w:r>
      <w:r w:rsidR="002C63C9">
        <w:t xml:space="preserve">e </w:t>
      </w:r>
      <w:r w:rsidR="00570E4E">
        <w:t>la cuota adeudada.</w:t>
      </w:r>
    </w:p>
    <w:p w14:paraId="2B842849" w14:textId="77777777" w:rsidR="00B75A9A" w:rsidRDefault="00B75A9A" w:rsidP="00B75A9A">
      <w:pPr>
        <w:pStyle w:val="Prrafodelista"/>
        <w:numPr>
          <w:ilvl w:val="0"/>
          <w:numId w:val="1"/>
        </w:numPr>
        <w:jc w:val="both"/>
      </w:pPr>
      <w:r w:rsidRPr="0002532B">
        <w:t>Se hace constar que el Organizador no se obliga</w:t>
      </w:r>
      <w:r>
        <w:t xml:space="preserve"> al pago de ningún otro costo, </w:t>
      </w:r>
      <w:r w:rsidRPr="0002532B">
        <w:t xml:space="preserve">prestación o erogación que suponga el uso y ejercicio del Premio, distinto a los señalados precedentemente. </w:t>
      </w:r>
    </w:p>
    <w:p w14:paraId="080A337E" w14:textId="77777777" w:rsidR="00B75A9A" w:rsidRPr="0002532B" w:rsidRDefault="00B75A9A" w:rsidP="00B75A9A">
      <w:pPr>
        <w:pStyle w:val="Prrafodelista"/>
        <w:numPr>
          <w:ilvl w:val="0"/>
          <w:numId w:val="1"/>
        </w:numPr>
        <w:jc w:val="both"/>
      </w:pPr>
      <w:r w:rsidRPr="0002532B">
        <w:t>El Premio será intransferible, no podrá ser canjeado por dinero en efectivo ni otros bienes o servicios</w:t>
      </w:r>
    </w:p>
    <w:p w14:paraId="0A661A61" w14:textId="77777777" w:rsidR="00B75A9A" w:rsidRPr="0002532B" w:rsidRDefault="00B75A9A" w:rsidP="00B75A9A">
      <w:pPr>
        <w:pStyle w:val="Prrafodelista"/>
        <w:ind w:left="360"/>
        <w:jc w:val="both"/>
      </w:pPr>
    </w:p>
    <w:p w14:paraId="0A0EB829" w14:textId="77777777" w:rsidR="00B75A9A" w:rsidRPr="0002532B" w:rsidRDefault="00B75A9A" w:rsidP="00B75A9A">
      <w:pPr>
        <w:pStyle w:val="Prrafodelista"/>
        <w:numPr>
          <w:ilvl w:val="0"/>
          <w:numId w:val="3"/>
        </w:numPr>
        <w:jc w:val="both"/>
      </w:pPr>
      <w:r w:rsidRPr="0002532B">
        <w:rPr>
          <w:b/>
        </w:rPr>
        <w:lastRenderedPageBreak/>
        <w:t>Varias</w:t>
      </w:r>
    </w:p>
    <w:p w14:paraId="71BBA3DB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>El Organizador se reserva el derecho a modificar estas bases para cubrir imprevistos o eventualidades que pudieran surgir, sin incurrir en responsabilidad de ninguna clase.</w:t>
      </w:r>
    </w:p>
    <w:p w14:paraId="4689F3C8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>Cuando circunstancias no previstas lo justifiquen, se podrá cancelar, postergar, suspender o modificar esta promoción, realizando los anuncios correspondientes.</w:t>
      </w:r>
    </w:p>
    <w:p w14:paraId="355A16CD" w14:textId="77777777" w:rsidR="00B75A9A" w:rsidRPr="0002532B" w:rsidRDefault="004274F1" w:rsidP="00B75A9A">
      <w:pPr>
        <w:pStyle w:val="Prrafodelista"/>
        <w:numPr>
          <w:ilvl w:val="0"/>
          <w:numId w:val="2"/>
        </w:numPr>
        <w:jc w:val="both"/>
      </w:pPr>
      <w:r>
        <w:t>Los beneficiarios de la Acción</w:t>
      </w:r>
      <w:r w:rsidR="00B75A9A" w:rsidRPr="0002532B">
        <w:t>, autoriza</w:t>
      </w:r>
      <w:r>
        <w:t>n</w:t>
      </w:r>
      <w:r w:rsidR="00B75A9A" w:rsidRPr="0002532B">
        <w:t xml:space="preserve"> a difundir o publicar su nombre y/o divulgar su imagen y/o fotografías con fines publicitarios, por los medios y en las formas que el Organizador considere correctas, sin derecho a compensación de tipo o modo alguno. Asimismo y en caso de solicitársele, se comprometen a suscribir una declaración jurada en virtud de la cual declaran no encontrarse inhibidos de participar en la presente promoción. </w:t>
      </w:r>
    </w:p>
    <w:p w14:paraId="5C297377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>El no cumplimiento de las obligaciones precedentes implicará la renuncia al premio.</w:t>
      </w:r>
    </w:p>
    <w:p w14:paraId="3D3F7086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 xml:space="preserve">Se establece expresamente y </w:t>
      </w:r>
      <w:r>
        <w:t>los</w:t>
      </w:r>
      <w:r w:rsidRPr="0002532B">
        <w:t xml:space="preserve"> participante</w:t>
      </w:r>
      <w:r>
        <w:t>s</w:t>
      </w:r>
      <w:r w:rsidRPr="0002532B">
        <w:t xml:space="preserve"> así lo acepta</w:t>
      </w:r>
      <w:r>
        <w:t>n</w:t>
      </w:r>
      <w:r w:rsidRPr="0002532B">
        <w:t xml:space="preserve">, que la responsabilidad del Organizador queda limitada única y exclusivamente por el otorgamiento al ganador –que cumpla con los requisitos y las condiciones establecidas en estas bases de los premios establecidos en estas bases. </w:t>
      </w:r>
    </w:p>
    <w:p w14:paraId="45CCABC8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 xml:space="preserve">No podrá participar de esta </w:t>
      </w:r>
      <w:r w:rsidR="004274F1" w:rsidRPr="004274F1">
        <w:t>Acción</w:t>
      </w:r>
      <w:r w:rsidRPr="0002532B">
        <w:t xml:space="preserve">personal dependiente perteneciente a </w:t>
      </w:r>
      <w:proofErr w:type="spellStart"/>
      <w:r w:rsidRPr="0002532B">
        <w:t>Tinkland</w:t>
      </w:r>
      <w:proofErr w:type="spellEnd"/>
      <w:r w:rsidRPr="0002532B">
        <w:t xml:space="preserve"> S.A., ni sus cónyuges, parientes en línea recta hasta el segundo grado ni sus cónyuges o parientes en línea colateral hasta el segundo grado o personal perteneciente a la agencia de publicidad involucrada en la producción de esta promoción. Tampoco participaran los integrantes del directorio (titulares y suplentes) de </w:t>
      </w:r>
      <w:proofErr w:type="spellStart"/>
      <w:r w:rsidRPr="0002532B">
        <w:t>Tinkland</w:t>
      </w:r>
      <w:proofErr w:type="spellEnd"/>
      <w:r w:rsidRPr="0002532B">
        <w:t xml:space="preserve"> S. A., ni sus cónyuges, parientes en línea recta hasta el segundo grado ni sus cónyuges o parientes en línea colateral hasta el segundo grado ni sus cónyuges.</w:t>
      </w:r>
    </w:p>
    <w:p w14:paraId="57E6EF19" w14:textId="77777777" w:rsidR="00B75A9A" w:rsidRPr="0002532B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 xml:space="preserve">La participación en esta </w:t>
      </w:r>
      <w:r w:rsidR="004274F1">
        <w:t>Acción</w:t>
      </w:r>
      <w:r w:rsidRPr="0002532B">
        <w:t xml:space="preserve"> implica conocimiento y aceptación de estas Bases y de las decisiones que adopte </w:t>
      </w:r>
      <w:r>
        <w:t>el Organizador</w:t>
      </w:r>
      <w:r w:rsidRPr="0002532B">
        <w:t xml:space="preserve"> sobre cualquier cuestión no prevista en las mismas. </w:t>
      </w:r>
    </w:p>
    <w:p w14:paraId="516F6AF2" w14:textId="77777777" w:rsidR="00B75A9A" w:rsidRDefault="00B75A9A" w:rsidP="00B75A9A">
      <w:pPr>
        <w:pStyle w:val="Prrafodelista"/>
        <w:numPr>
          <w:ilvl w:val="0"/>
          <w:numId w:val="2"/>
        </w:numPr>
        <w:jc w:val="both"/>
      </w:pPr>
      <w:r w:rsidRPr="0002532B">
        <w:t xml:space="preserve">Cualquier situación no prevista en estas Bases o cualquier duda, será dirimida exclusivamente por </w:t>
      </w:r>
      <w:r>
        <w:t>el Organizador.</w:t>
      </w:r>
    </w:p>
    <w:p w14:paraId="3A66B017" w14:textId="77777777" w:rsidR="00B75A9A" w:rsidRPr="00BE5607" w:rsidRDefault="00B75A9A" w:rsidP="00B75A9A">
      <w:pPr>
        <w:pStyle w:val="Prrafodelista"/>
        <w:numPr>
          <w:ilvl w:val="0"/>
          <w:numId w:val="2"/>
        </w:numPr>
        <w:jc w:val="both"/>
      </w:pPr>
      <w:r w:rsidRPr="00BE5607">
        <w:rPr>
          <w:rFonts w:cs="Arial"/>
        </w:rPr>
        <w:t xml:space="preserve">Para cualquier cuestión judicial que pudiera derivarse de la realización de la </w:t>
      </w:r>
      <w:r>
        <w:rPr>
          <w:rFonts w:cs="Arial"/>
        </w:rPr>
        <w:t>Ac</w:t>
      </w:r>
      <w:r w:rsidR="00AE31C3">
        <w:rPr>
          <w:rFonts w:cs="Arial"/>
        </w:rPr>
        <w:t>ción</w:t>
      </w:r>
      <w:r w:rsidRPr="00BE5607">
        <w:rPr>
          <w:rFonts w:cs="Arial"/>
        </w:rPr>
        <w:t>, los participantes y el Organizador se someterán a la jurisdicción de los tribunales nacionales ordinarios con sede en la Ciudad de Montevideo.</w:t>
      </w:r>
    </w:p>
    <w:p w14:paraId="107E2498" w14:textId="77777777" w:rsidR="00B75A9A" w:rsidRPr="00BE5607" w:rsidRDefault="00B75A9A" w:rsidP="00B75A9A">
      <w:pPr>
        <w:pStyle w:val="Prrafodelista"/>
        <w:jc w:val="both"/>
        <w:rPr>
          <w:lang w:val="es-ES"/>
        </w:rPr>
      </w:pPr>
    </w:p>
    <w:p w14:paraId="524EA493" w14:textId="77777777" w:rsidR="00D53697" w:rsidRDefault="00D53697"/>
    <w:sectPr w:rsidR="00D53697" w:rsidSect="00E343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75E"/>
    <w:multiLevelType w:val="hybridMultilevel"/>
    <w:tmpl w:val="4FBE9814"/>
    <w:lvl w:ilvl="0" w:tplc="5628A3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F9A4E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E9AC188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329A0"/>
    <w:multiLevelType w:val="hybridMultilevel"/>
    <w:tmpl w:val="9EBAE0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55C29"/>
    <w:multiLevelType w:val="hybridMultilevel"/>
    <w:tmpl w:val="93D2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13597">
    <w:abstractNumId w:val="1"/>
  </w:num>
  <w:num w:numId="2" w16cid:durableId="515123298">
    <w:abstractNumId w:val="2"/>
  </w:num>
  <w:num w:numId="3" w16cid:durableId="4015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GWord" w:val="23933"/>
  </w:docVars>
  <w:rsids>
    <w:rsidRoot w:val="00B75A9A"/>
    <w:rsid w:val="000E4D78"/>
    <w:rsid w:val="001429F7"/>
    <w:rsid w:val="00164F0D"/>
    <w:rsid w:val="002B4A56"/>
    <w:rsid w:val="002C63C9"/>
    <w:rsid w:val="004274F1"/>
    <w:rsid w:val="00542045"/>
    <w:rsid w:val="00570E4E"/>
    <w:rsid w:val="00637412"/>
    <w:rsid w:val="008B30C6"/>
    <w:rsid w:val="00965608"/>
    <w:rsid w:val="00AE31C3"/>
    <w:rsid w:val="00B75A9A"/>
    <w:rsid w:val="00B96D77"/>
    <w:rsid w:val="00C57FA7"/>
    <w:rsid w:val="00D02FF3"/>
    <w:rsid w:val="00D36736"/>
    <w:rsid w:val="00D5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13C3"/>
  <w15:docId w15:val="{8A042D84-1D52-455F-9C89-F96DB7AA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9A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A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E4E"/>
    <w:rPr>
      <w:rFonts w:ascii="Tahoma" w:eastAsia="Calibri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57F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F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FA7"/>
    <w:rPr>
      <w:rFonts w:ascii="Calibri" w:eastAsia="Calibri" w:hAnsi="Calibri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F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FA7"/>
    <w:rPr>
      <w:rFonts w:ascii="Calibri" w:eastAsia="Calibri" w:hAnsi="Calibri" w:cs="Times New Roman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Rodíguez</dc:creator>
  <cp:lastModifiedBy>NATALIA MUJICA</cp:lastModifiedBy>
  <cp:revision>2</cp:revision>
  <dcterms:created xsi:type="dcterms:W3CDTF">2026-02-26T13:46:00Z</dcterms:created>
  <dcterms:modified xsi:type="dcterms:W3CDTF">2026-02-26T13:46:00Z</dcterms:modified>
</cp:coreProperties>
</file>